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Anforderungen an Beratungsleistung eines Sachverständigen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Ergebnisse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Beratungsergebnisse müssen auf die betriebliche Situation angepasst sein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Vereinbarung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Ergebnisse und Vereinbarungen müssen klar formuliert und nachvollziehbar sein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Kompetenz des Betriebsrats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Betriebsrat muss über die benötigten Mittel und die Erlaubnis, Entscheidungen zu treffen, verfügen. Nur so kann er später im Betrieb oder Unternehmen die Lösungen korrekt umsetzen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Beratungsergebnis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Forderungen bzw. Interessen der Gruppen aus dem Betrieb oder dem Unternehmen und die Beratungsergebnisse müssen gleich sein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Widerspruch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Ergebnisse dürfen sich z.B. nicht in Personalkonzepten oder Betriebsvereinbarungen widersprechen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Forderungen überbetrieblich umsetzen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Nicht nur die einzelbetrieblichen Interessen sollten berücksichtigt werden, sondern auch die überbetrieblichen Ansprüche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Spielraum für Anwender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Anwender der Beratungsergebnisse sollen einen gewissen Spielraum zur Verfügung haben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Klarheit für den Betriebsrat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 der Beratung sollte der Betriebsrat verstehen, wie er die Ergebnisse am besten im Betrieb bzw. Unternehmen umsetzen kann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Kontrolle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Wer überwacht die Umsetzung der Ergebnisse und wie?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Rücksicht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Eine Berücksichtigung der Ergebnisse in Bezug auf Arbeitsrechtliche Situation im Unternehmen ist erforderlich. Zusätzlich sollten sie auch den arbeitswissenschaftlichen Erkenntnissen entsprechen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Festhalten der Ergebnisse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Ergebnisse sollten schriftlich festgehalten werden, damit sie später gut nachvollziehbar sind.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575640">
    <w:multiLevelType w:val="hybridMultilevel"/>
    <w:lvl w:ilvl="0" w:tplc="13135133">
      <w:start w:val="1"/>
      <w:numFmt w:val="decimal"/>
      <w:lvlText w:val="%1."/>
      <w:lvlJc w:val="left"/>
      <w:pPr>
        <w:ind w:left="720" w:hanging="360"/>
      </w:pPr>
    </w:lvl>
    <w:lvl w:ilvl="1" w:tplc="13135133" w:tentative="1">
      <w:start w:val="1"/>
      <w:numFmt w:val="lowerLetter"/>
      <w:lvlText w:val="%2."/>
      <w:lvlJc w:val="left"/>
      <w:pPr>
        <w:ind w:left="1440" w:hanging="360"/>
      </w:pPr>
    </w:lvl>
    <w:lvl w:ilvl="2" w:tplc="13135133" w:tentative="1">
      <w:start w:val="1"/>
      <w:numFmt w:val="lowerRoman"/>
      <w:lvlText w:val="%3."/>
      <w:lvlJc w:val="right"/>
      <w:pPr>
        <w:ind w:left="2160" w:hanging="180"/>
      </w:pPr>
    </w:lvl>
    <w:lvl w:ilvl="3" w:tplc="13135133" w:tentative="1">
      <w:start w:val="1"/>
      <w:numFmt w:val="decimal"/>
      <w:lvlText w:val="%4."/>
      <w:lvlJc w:val="left"/>
      <w:pPr>
        <w:ind w:left="2880" w:hanging="360"/>
      </w:pPr>
    </w:lvl>
    <w:lvl w:ilvl="4" w:tplc="13135133" w:tentative="1">
      <w:start w:val="1"/>
      <w:numFmt w:val="lowerLetter"/>
      <w:lvlText w:val="%5."/>
      <w:lvlJc w:val="left"/>
      <w:pPr>
        <w:ind w:left="3600" w:hanging="360"/>
      </w:pPr>
    </w:lvl>
    <w:lvl w:ilvl="5" w:tplc="13135133" w:tentative="1">
      <w:start w:val="1"/>
      <w:numFmt w:val="lowerRoman"/>
      <w:lvlText w:val="%6."/>
      <w:lvlJc w:val="right"/>
      <w:pPr>
        <w:ind w:left="4320" w:hanging="180"/>
      </w:pPr>
    </w:lvl>
    <w:lvl w:ilvl="6" w:tplc="13135133" w:tentative="1">
      <w:start w:val="1"/>
      <w:numFmt w:val="decimal"/>
      <w:lvlText w:val="%7."/>
      <w:lvlJc w:val="left"/>
      <w:pPr>
        <w:ind w:left="5040" w:hanging="360"/>
      </w:pPr>
    </w:lvl>
    <w:lvl w:ilvl="7" w:tplc="13135133" w:tentative="1">
      <w:start w:val="1"/>
      <w:numFmt w:val="lowerLetter"/>
      <w:lvlText w:val="%8."/>
      <w:lvlJc w:val="left"/>
      <w:pPr>
        <w:ind w:left="5760" w:hanging="360"/>
      </w:pPr>
    </w:lvl>
    <w:lvl w:ilvl="8" w:tplc="131351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75639">
    <w:multiLevelType w:val="hybridMultilevel"/>
    <w:lvl w:ilvl="0" w:tplc="721310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575639">
    <w:abstractNumId w:val="95575639"/>
  </w:num>
  <w:num w:numId="95575640">
    <w:abstractNumId w:val="955756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