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188" w:after="188" w:line="240" w:lineRule="auto"/>
        <w:ind w:left="0" w:right="0"/>
        <w:jc w:val="left"/>
        <w:outlineLvl w:val="0"/>
      </w:pPr>
      <w:r>
        <w:rPr>
          <w:rFonts w:ascii="Arial" w:hAnsi="Arial" w:eastAsia="Arial" w:cs="Arial"/>
          <w:b/>
          <w:bCs/>
          <w:color w:val="000000"/>
          <w:sz w:val="28"/>
          <w:szCs w:val="28"/>
        </w:rPr>
        <w:t xml:space="preserve">Checkliste: Aushänge - Sicherheitsvorschriften</w:t>
      </w:r>
    </w:p>
    <w:tbl>
      <w:tblPr>
        <w:tblStyle w:val="NormalTablePHPDOCX"/>
        <w:tblW w:w="5000" w:type="pct"/>
        <w:tblInd w:w="0" w:type="auto"/>
        <w:tblBorders/>
      </w:tblPr>
      <w:tblGrid>
        <w:gridCol/>
      </w:tblGrid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Aufgaben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Was ist zu tun?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Erledigt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Betriebsordnung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Einsicht/Aushang an einer gut sichtbaren Stelle im Eingangsbereich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Inhalt: Betrieb/Ablauf der Abfallentsorgungsanlage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Vorschrift Nr. 6.4.1. Abs. 3 TA Siedlungsabfall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Flucht- und Rettungsplan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Einsicht/Aushang an einer geeigneten Stelle der Arbeitsstätte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Grundlage: Notwendigkeit nach Lage, Art und Ausbreitung der Nutzung der Arbeitsstätte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Rechtslage: § 55 S. 1 und 2 ArbStättV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Druckluftverordnung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Einsicht/Aushang immer gut lesbar an einer geeigneten Stelle, zugänglich für alle Arbeitnehmer, im Unternehmen (zusätzlich im Erholungsraum und der Personenschleuse)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Inhalt: Anschrift, Name und Tel. Nummer des befugten Arztes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Weitere Vorschriften: Verteilung von Merkblättern an die Arbeitnehmer über die Unterrichtung (§ 20 Abs. 2 Druckluftverordnung)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Rechtslage: § 12 Abs. 2 Druckluftverordnung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Strahlenschutzverordnung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Einsicht/Aushang an einer geeigneten Stelle im Unternehmen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Grundlage: Es ist regelmäßig mindestens ein Mitarbeiter mit Strahlen beschäftigt oder als Aufsicht tätig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Inhalt: Verordnungstext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Rechtslage: § 35 StrlSchV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Röntgenverordnung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Einsicht/Aushang an einer geeigneten Stelle im Unternehmen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Grundlage: Eine Röntgeneinrichtung ist in Betrieb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Inhalt: Verordnungstext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Sonstige Vorschriften: Bedienungsanleitung auf Deutsch (§ 18 Abs. 1 Nr. 1 RöV), Arbeitsanweisung schriftliche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Rechtslage: § 18 Abs. 1 Nr. 4 RöV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Betriebsanweisung für Gefahrstoffe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Einsicht/Aushang in einer verständlichen Sprache der Beschäftigten und an einer geeigneten Stelle in der Arbeitsstätte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Inhalt: arbeitsbereich- und stoffbezogene Anweisungen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Verhaltensregeln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Schutzmaßnahmen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Umgang mit Gefahrstoffen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Verhalten bei Gefahr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Sachgerechte Entsorgung von Abfällen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Erste Hilfe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Rechtslage: § 14 Abs. 1 GefStoffV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Bergverordnung für den Festlandsockel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Einsicht/Aushang an einer geeigneten Stelle in jeder Betriebsanlage, für jeden gut sichtbar, sowie Verteilung an Verantwortliche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Inhalt: Verordnungstext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Sonstige Verpflichtungen: Betriebsanweisung aushändigen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In verständlicher Form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Ggf. Tätigkeitsunterweisung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Aushang an geeigneter Stelle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An Mitarbeiter, die einschlägige Tätigkeiten ausüben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Rechtslage: § 41 Abs. 2 FlsBergV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Rechtslage: § 45 FlsBergV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Bergverordnung zum Schutz</w:t>
            </w:r>
          </w:p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left"/>
              <w:textAlignment w:val="center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der Gesundheit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Einsicht/Aushang auf eine geeignete Art zur Kenntnis bringen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Inhalt: betreffende Vorschriften der Mitarbeiter der Gesundheitsschutz-Bergverordnung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Sonstige Verpflichtungen: Betriebsanweisung aushändigen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Grundlage: Arbeiten mit Gefahrstoffen u.ä.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Inhalt: Umgang mit jeweiligen Stoffen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Rechtslage: § 15 GesBergV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Bergverordnung zum Schutz der</w:t>
            </w:r>
          </w:p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left"/>
              <w:textAlignment w:val="center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Gesundheit gegen Klimaeinwirkungen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Einsicht/Aushang auf eine geeignete Art zur Kenntnis bringen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Inhalt: Vorschrift der Verordnung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Grundlagen: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Im Salzbergbau bei mehr als 28 Grad Celsius Trockentemperatur oder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Außerhalb des Salzbergbaus bei mehr als 28 Grad Celsius Effektivtemperatur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Arbeit tagsüber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Rechtslage: § 14 KlimaBergV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Betriebsanweisung für Arbeiten</w:t>
            </w:r>
          </w:p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left"/>
              <w:textAlignment w:val="center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mit biologischen Arbeitsstoffen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Einsicht/Aushang in einer verständlichen Form an einer geeigneten Stelle in der Arbeitsstätte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Inhalt: stoffbezogene und arbeitsbereichsbezogene Anweisungen auf Grundlage der Gefährdungsbeurteilung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Verhaltensregeln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Sicherheitsmaßnahmen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Verhalten bei Betriebsstörungen und Unfällen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Hinweis auf mit Arbeiten verbundenen Gefahren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Erste Hilfe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Zeitpunkt vor Aufnahme der Tätigkeit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Rechtslage: § 12 Abs. 2 BioStoffV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Vorankündigung für Arbeiten</w:t>
            </w:r>
          </w:p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left"/>
              <w:textAlignment w:val="center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auf Baustellen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Einsicht/Aushang an einer geeigneten Stelle der Baustelle und Korrektur bei großen Veränderungen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Grundlage: Baustelle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Umfang von mehr als 500 Personentagen oder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mit mehr als dreißig Arbeitstagen sowie 20 Mitarbeitern, die gleichzeitig arbeiten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Inhalt: Ankündigung mit Angaben nach Anhang 1 an zuständige Behörde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14 Tage vor Einrichtung der Baustelle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Rechtslage: § 2 Abs. 2 Verordnung über Sicherheit und Gesundheitsschutz auf Baustellen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Betriebsanweisung für Arbeiten</w:t>
            </w:r>
          </w:p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left"/>
              <w:textAlignment w:val="center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in gentechnischen Anlagen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Einsicht/Aushang in Sprache der Mitarbeiter und verständlicher Form sowie einer geeigneten Stelle der Arbeitsstätte. Bei Unfällen muss diese umgehend zur Verfügung stehen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Inhalt: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Verhaltensregeln/Verhalten bei Gefahren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Sicherheitsmaßnahmen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Evtl. Umwelt- und Gesundheitsgefahren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Vorgehensweise bei Immunisierung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Erste Hilfe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Rechtslage: § 12 Abs. 2 GenTSV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7100256">
    <w:multiLevelType w:val="hybridMultilevel"/>
    <w:lvl w:ilvl="0" w:tplc="18468217">
      <w:start w:val="1"/>
      <w:numFmt w:val="decimal"/>
      <w:lvlText w:val="%1."/>
      <w:lvlJc w:val="left"/>
      <w:pPr>
        <w:ind w:left="720" w:hanging="360"/>
      </w:pPr>
    </w:lvl>
    <w:lvl w:ilvl="1" w:tplc="18468217" w:tentative="1">
      <w:start w:val="1"/>
      <w:numFmt w:val="lowerLetter"/>
      <w:lvlText w:val="%2."/>
      <w:lvlJc w:val="left"/>
      <w:pPr>
        <w:ind w:left="1440" w:hanging="360"/>
      </w:pPr>
    </w:lvl>
    <w:lvl w:ilvl="2" w:tplc="18468217" w:tentative="1">
      <w:start w:val="1"/>
      <w:numFmt w:val="lowerRoman"/>
      <w:lvlText w:val="%3."/>
      <w:lvlJc w:val="right"/>
      <w:pPr>
        <w:ind w:left="2160" w:hanging="180"/>
      </w:pPr>
    </w:lvl>
    <w:lvl w:ilvl="3" w:tplc="18468217" w:tentative="1">
      <w:start w:val="1"/>
      <w:numFmt w:val="decimal"/>
      <w:lvlText w:val="%4."/>
      <w:lvlJc w:val="left"/>
      <w:pPr>
        <w:ind w:left="2880" w:hanging="360"/>
      </w:pPr>
    </w:lvl>
    <w:lvl w:ilvl="4" w:tplc="18468217" w:tentative="1">
      <w:start w:val="1"/>
      <w:numFmt w:val="lowerLetter"/>
      <w:lvlText w:val="%5."/>
      <w:lvlJc w:val="left"/>
      <w:pPr>
        <w:ind w:left="3600" w:hanging="360"/>
      </w:pPr>
    </w:lvl>
    <w:lvl w:ilvl="5" w:tplc="18468217" w:tentative="1">
      <w:start w:val="1"/>
      <w:numFmt w:val="lowerRoman"/>
      <w:lvlText w:val="%6."/>
      <w:lvlJc w:val="right"/>
      <w:pPr>
        <w:ind w:left="4320" w:hanging="180"/>
      </w:pPr>
    </w:lvl>
    <w:lvl w:ilvl="6" w:tplc="18468217" w:tentative="1">
      <w:start w:val="1"/>
      <w:numFmt w:val="decimal"/>
      <w:lvlText w:val="%7."/>
      <w:lvlJc w:val="left"/>
      <w:pPr>
        <w:ind w:left="5040" w:hanging="360"/>
      </w:pPr>
    </w:lvl>
    <w:lvl w:ilvl="7" w:tplc="18468217" w:tentative="1">
      <w:start w:val="1"/>
      <w:numFmt w:val="lowerLetter"/>
      <w:lvlText w:val="%8."/>
      <w:lvlJc w:val="left"/>
      <w:pPr>
        <w:ind w:left="5760" w:hanging="360"/>
      </w:pPr>
    </w:lvl>
    <w:lvl w:ilvl="8" w:tplc="1846821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100255">
    <w:multiLevelType w:val="hybridMultilevel"/>
    <w:lvl w:ilvl="0" w:tplc="972320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7100255">
    <w:abstractNumId w:val="77100255"/>
  </w:num>
  <w:num w:numId="77100256">
    <w:abstractNumId w:val="7710025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