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Geringfügige Beschäftigung - Zusammenrechnung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beachten?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Arbeitslosenversicherung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Versicherungsfreiheit nach § 27 Abs. 2 Satz 1 SGB III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Zusammenrechnung von mehreren Beschäftigungen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Kranken- und Pflegeversicherung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Zusammenrechnung mehrerer geringfügiger Beschäftigungen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  <w:u w:val="single"/>
              </w:rPr>
              <w:t xml:space="preserve">Voraussetzung: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es wird Versicherungspflicht begründet (§ 7 Abs. 1 Satz 2 SGB V)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  <w:u w:val="single"/>
              </w:rPr>
              <w:t xml:space="preserve">Ausnahme: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eine einzige geringfügige Beschäftigung neben einer Hauptbeschäftigung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Nebenjob bei anderem Arbeitgeber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Rentenversicherung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Zusammenrechnung nach § 5 Abs. 2 Satz 1 SGB VI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  <w:u w:val="single"/>
              </w:rPr>
              <w:t xml:space="preserve">Voraussetzung: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Versicherungspflicht der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nicht geringfügigen Beschäftigung oder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nicht geringfügigen selbstständigen Beschäftigung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Unfallversicherung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Versicherung von Gesetzes wegen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Beiträge durch Arbeitgeber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Weitere Neuregelungen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Beginn der Versicherungspflicht: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mit Tag der Bekanntgabe der Feststellung der Versicherungspflicht durch Einzugsstelle oder Träger der Rentenversicherung(§ 8 Abs. 2 Satz 3 SGB IV)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rückwirkende Veranlagung für geringfügige Mehrfachbeschäftigungen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Anwendung Arbeitsrechtlicher Mittel gegen Arbeitnehmer, die Mehrfachbeschäftigung nicht angeben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Wiederherstellung des Zuflussprinzips bei Einmalzahlungen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(§ 22 Abs. 1 SGB IV)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Nur tatsächlich gewährte, nicht aber fiktive Einmalzahlungen erhöhen das Arbeitsentgelt und können Versicherungspflicht auslösen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112693">
    <w:multiLevelType w:val="hybridMultilevel"/>
    <w:lvl w:ilvl="0" w:tplc="35998034">
      <w:start w:val="1"/>
      <w:numFmt w:val="decimal"/>
      <w:lvlText w:val="%1."/>
      <w:lvlJc w:val="left"/>
      <w:pPr>
        <w:ind w:left="720" w:hanging="360"/>
      </w:pPr>
    </w:lvl>
    <w:lvl w:ilvl="1" w:tplc="35998034" w:tentative="1">
      <w:start w:val="1"/>
      <w:numFmt w:val="lowerLetter"/>
      <w:lvlText w:val="%2."/>
      <w:lvlJc w:val="left"/>
      <w:pPr>
        <w:ind w:left="1440" w:hanging="360"/>
      </w:pPr>
    </w:lvl>
    <w:lvl w:ilvl="2" w:tplc="35998034" w:tentative="1">
      <w:start w:val="1"/>
      <w:numFmt w:val="lowerRoman"/>
      <w:lvlText w:val="%3."/>
      <w:lvlJc w:val="right"/>
      <w:pPr>
        <w:ind w:left="2160" w:hanging="180"/>
      </w:pPr>
    </w:lvl>
    <w:lvl w:ilvl="3" w:tplc="35998034" w:tentative="1">
      <w:start w:val="1"/>
      <w:numFmt w:val="decimal"/>
      <w:lvlText w:val="%4."/>
      <w:lvlJc w:val="left"/>
      <w:pPr>
        <w:ind w:left="2880" w:hanging="360"/>
      </w:pPr>
    </w:lvl>
    <w:lvl w:ilvl="4" w:tplc="35998034" w:tentative="1">
      <w:start w:val="1"/>
      <w:numFmt w:val="lowerLetter"/>
      <w:lvlText w:val="%5."/>
      <w:lvlJc w:val="left"/>
      <w:pPr>
        <w:ind w:left="3600" w:hanging="360"/>
      </w:pPr>
    </w:lvl>
    <w:lvl w:ilvl="5" w:tplc="35998034" w:tentative="1">
      <w:start w:val="1"/>
      <w:numFmt w:val="lowerRoman"/>
      <w:lvlText w:val="%6."/>
      <w:lvlJc w:val="right"/>
      <w:pPr>
        <w:ind w:left="4320" w:hanging="180"/>
      </w:pPr>
    </w:lvl>
    <w:lvl w:ilvl="6" w:tplc="35998034" w:tentative="1">
      <w:start w:val="1"/>
      <w:numFmt w:val="decimal"/>
      <w:lvlText w:val="%7."/>
      <w:lvlJc w:val="left"/>
      <w:pPr>
        <w:ind w:left="5040" w:hanging="360"/>
      </w:pPr>
    </w:lvl>
    <w:lvl w:ilvl="7" w:tplc="35998034" w:tentative="1">
      <w:start w:val="1"/>
      <w:numFmt w:val="lowerLetter"/>
      <w:lvlText w:val="%8."/>
      <w:lvlJc w:val="left"/>
      <w:pPr>
        <w:ind w:left="5760" w:hanging="360"/>
      </w:pPr>
    </w:lvl>
    <w:lvl w:ilvl="8" w:tplc="35998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12692">
    <w:multiLevelType w:val="hybridMultilevel"/>
    <w:lvl w:ilvl="0" w:tplc="643553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112692">
    <w:abstractNumId w:val="45112692"/>
  </w:num>
  <w:num w:numId="45112693">
    <w:abstractNumId w:val="451126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